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9474" w14:textId="77777777" w:rsidR="00EC5460" w:rsidRPr="00EC5460" w:rsidRDefault="00EC5460" w:rsidP="00EC5460">
      <w:pPr>
        <w:jc w:val="center"/>
        <w:rPr>
          <w:rFonts w:ascii="Times New Roman" w:hAnsi="Times New Roman" w:cs="Times New Roman"/>
          <w:sz w:val="28"/>
          <w:szCs w:val="28"/>
        </w:rPr>
      </w:pPr>
      <w:r w:rsidRPr="00EC5460">
        <w:rPr>
          <w:rFonts w:ascii="Times New Roman" w:hAnsi="Times New Roman" w:cs="Times New Roman"/>
          <w:sz w:val="28"/>
          <w:szCs w:val="28"/>
        </w:rPr>
        <w:t>MUHTASAR VE PRİM HİZMET BEYANNAMELERİNDE DEĞİŞİKLİKLER</w:t>
      </w:r>
    </w:p>
    <w:p w14:paraId="1E9A29CB"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Muhtasar ve Prim Hizmet Beyannamelerinde değişiklikler yapılmıştır. Beyannamelerini e-Beyanname sisteminden verecek olan mükelleflerimizin Dijital Vergi Dairesi uygulaması üzerinden “Gerekli Programlar” menüsü altında yer alan Beyanname Düzenleme Programını güncellemeleri gerekmektedir. Ayrıntılı bilgi için duyuru eklerine bakınız.</w:t>
      </w:r>
    </w:p>
    <w:p w14:paraId="1B4209C5"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Kamuoyuna saygıyla duyurulur.</w:t>
      </w:r>
    </w:p>
    <w:p w14:paraId="4F7D86CF"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b/>
          <w:bCs/>
          <w:sz w:val="28"/>
          <w:szCs w:val="28"/>
        </w:rPr>
        <w:t>Duyuru Eki:</w:t>
      </w:r>
    </w:p>
    <w:p w14:paraId="1DA98E8A"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Muhtasar ve Prim Hizmet Beyannamelerinde aşağıdaki değişiklikler yapılmıştır.</w:t>
      </w:r>
    </w:p>
    <w:p w14:paraId="0CCE07B9"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b/>
          <w:bCs/>
          <w:sz w:val="28"/>
          <w:szCs w:val="28"/>
        </w:rPr>
        <w:t>1.</w:t>
      </w:r>
      <w:r w:rsidRPr="00EC5460">
        <w:rPr>
          <w:rFonts w:ascii="Times New Roman" w:hAnsi="Times New Roman" w:cs="Times New Roman"/>
          <w:sz w:val="28"/>
          <w:szCs w:val="28"/>
        </w:rPr>
        <w:t> 1 Ocak 2026 tarihinden itibaren geçerli olmak üzere “Asgari Ücret İstisna Gelir Vergisi” tutarı 4.211,33 TL “Asgari Ücret İstisna Damga Vergisi” tutarı 250,70 TL olarak güncellenmiştir.</w:t>
      </w:r>
    </w:p>
    <w:p w14:paraId="570AF18A"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b/>
          <w:bCs/>
          <w:sz w:val="28"/>
          <w:szCs w:val="28"/>
        </w:rPr>
        <w:t>2</w:t>
      </w:r>
      <w:r w:rsidRPr="00EC5460">
        <w:rPr>
          <w:rFonts w:ascii="Times New Roman" w:hAnsi="Times New Roman" w:cs="Times New Roman"/>
          <w:sz w:val="28"/>
          <w:szCs w:val="28"/>
        </w:rPr>
        <w:t>. “Ekler” kulakçığında yer alan;</w:t>
      </w:r>
    </w:p>
    <w:p w14:paraId="59E110D9"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“6550 Sayılı Araştırma Altyapılarının Desteklenmesine Dair Kanun Kapsamında Gelir Vergisi İstisnasına İlişkin Bildirim” sayfasında, “Bildirim Kapsamında Bulunan İşyerlerinin Çalışanlarına ve Vergilendirmeye İlişkin Bilgiler” tablosunda bulunan “İstisna Kapsamındaki Ücret Matrahı” sütunundaki “Brüt Asgari Ücretin 40 katı” kontrolü, 2026 yılında asgari ücretin yeniden belirlenmesi sonucu 1.321.200,00 TL olarak,</w:t>
      </w:r>
    </w:p>
    <w:p w14:paraId="2A504D3E"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“Teknoloji Geliştirme Bölgeleri Kanunu Kapsamında Gelir Vergisi Stopajı Teşvikine İlişkin Bildirim” sayfasında, “Terkin Edilecek Tutara ilişkin Bilgiler” tablosunda bulunan “AR-GE Tasarım ve Destek Faaliyeti Kapsamında Çalışmaya İlişkin Teşvik Kapsamındaki Azami Ücret Matrahı” sütunundaki “Brüt Asgari Ücretin 40 katı” kontrolü, 2026 yılında asgari ücretin yeniden belirlenmesi sonucu 1.321.200,00 TL olarak,</w:t>
      </w:r>
    </w:p>
    <w:p w14:paraId="65B01964"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“Ar-</w:t>
      </w:r>
      <w:proofErr w:type="spellStart"/>
      <w:r w:rsidRPr="00EC5460">
        <w:rPr>
          <w:rFonts w:ascii="Times New Roman" w:hAnsi="Times New Roman" w:cs="Times New Roman"/>
          <w:sz w:val="28"/>
          <w:szCs w:val="28"/>
        </w:rPr>
        <w:t>ge</w:t>
      </w:r>
      <w:proofErr w:type="spellEnd"/>
      <w:r w:rsidRPr="00EC5460">
        <w:rPr>
          <w:rFonts w:ascii="Times New Roman" w:hAnsi="Times New Roman" w:cs="Times New Roman"/>
          <w:sz w:val="28"/>
          <w:szCs w:val="28"/>
        </w:rPr>
        <w:t xml:space="preserve"> Yenilik veya Tasarım Kapsamında Gelir Vergisi Stopajı Teşvikine İlişkin Bildirim” sayfasında, “Terkin Edilecek Tutara ilişkin Bilgiler” tablosunda bulunan “Ar-</w:t>
      </w:r>
      <w:proofErr w:type="spellStart"/>
      <w:r w:rsidRPr="00EC5460">
        <w:rPr>
          <w:rFonts w:ascii="Times New Roman" w:hAnsi="Times New Roman" w:cs="Times New Roman"/>
          <w:sz w:val="28"/>
          <w:szCs w:val="28"/>
        </w:rPr>
        <w:t>ge</w:t>
      </w:r>
      <w:proofErr w:type="spellEnd"/>
      <w:r w:rsidRPr="00EC5460">
        <w:rPr>
          <w:rFonts w:ascii="Times New Roman" w:hAnsi="Times New Roman" w:cs="Times New Roman"/>
          <w:sz w:val="28"/>
          <w:szCs w:val="28"/>
        </w:rPr>
        <w:t xml:space="preserve"> Yenilik veya Tasarım Faaliyeti Kapsamında Çalışmaya İlişkin Teşvik Kapsamındaki Azami Ücret Matrahı</w:t>
      </w:r>
      <w:proofErr w:type="gramStart"/>
      <w:r w:rsidRPr="00EC5460">
        <w:rPr>
          <w:rFonts w:ascii="Times New Roman" w:hAnsi="Times New Roman" w:cs="Times New Roman"/>
          <w:sz w:val="28"/>
          <w:szCs w:val="28"/>
        </w:rPr>
        <w:t>” ”</w:t>
      </w:r>
      <w:proofErr w:type="gramEnd"/>
      <w:r w:rsidRPr="00EC5460">
        <w:rPr>
          <w:rFonts w:ascii="Times New Roman" w:hAnsi="Times New Roman" w:cs="Times New Roman"/>
          <w:sz w:val="28"/>
          <w:szCs w:val="28"/>
        </w:rPr>
        <w:t xml:space="preserve"> sütunundaki “Brüt Asgari Ücretin 40 katı” kontrolü 2026 yılında asgari ücretin yeniden belirlenmesi sonucu 1.321.200,00 TL olarak,</w:t>
      </w:r>
    </w:p>
    <w:p w14:paraId="2FCAF150"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“Teknoloji Geliştirme Bölgeleri Kanunu Kapsamında Gelir Vergisi Stopajı Teşvikine İlişkin Bildirim” tablosu ile “Ar-</w:t>
      </w:r>
      <w:proofErr w:type="spellStart"/>
      <w:r w:rsidRPr="00EC5460">
        <w:rPr>
          <w:rFonts w:ascii="Times New Roman" w:hAnsi="Times New Roman" w:cs="Times New Roman"/>
          <w:sz w:val="28"/>
          <w:szCs w:val="28"/>
        </w:rPr>
        <w:t>ge</w:t>
      </w:r>
      <w:proofErr w:type="spellEnd"/>
      <w:r w:rsidRPr="00EC5460">
        <w:rPr>
          <w:rFonts w:ascii="Times New Roman" w:hAnsi="Times New Roman" w:cs="Times New Roman"/>
          <w:sz w:val="28"/>
          <w:szCs w:val="28"/>
        </w:rPr>
        <w:t xml:space="preserve"> Yenilik veya Tasarım Kapsamında Gelir Vergisi Stopajı Teşvikine İlişkin Bildirim” tablosunda bulunan “Mahsup </w:t>
      </w:r>
      <w:r w:rsidRPr="00EC5460">
        <w:rPr>
          <w:rFonts w:ascii="Times New Roman" w:hAnsi="Times New Roman" w:cs="Times New Roman"/>
          <w:sz w:val="28"/>
          <w:szCs w:val="28"/>
        </w:rPr>
        <w:lastRenderedPageBreak/>
        <w:t xml:space="preserve">Edilebilecek Asgari Ücrete </w:t>
      </w:r>
      <w:proofErr w:type="spellStart"/>
      <w:r w:rsidRPr="00EC5460">
        <w:rPr>
          <w:rFonts w:ascii="Times New Roman" w:hAnsi="Times New Roman" w:cs="Times New Roman"/>
          <w:sz w:val="28"/>
          <w:szCs w:val="28"/>
        </w:rPr>
        <w:t>İsaben</w:t>
      </w:r>
      <w:proofErr w:type="spellEnd"/>
      <w:r w:rsidRPr="00EC5460">
        <w:rPr>
          <w:rFonts w:ascii="Times New Roman" w:hAnsi="Times New Roman" w:cs="Times New Roman"/>
          <w:sz w:val="28"/>
          <w:szCs w:val="28"/>
        </w:rPr>
        <w:t xml:space="preserve"> Eden Vergi Tutarı” sütunundaki “Asgari Ücret İstisna Gelir Vergisi</w:t>
      </w:r>
      <w:proofErr w:type="gramStart"/>
      <w:r w:rsidRPr="00EC5460">
        <w:rPr>
          <w:rFonts w:ascii="Times New Roman" w:hAnsi="Times New Roman" w:cs="Times New Roman"/>
          <w:sz w:val="28"/>
          <w:szCs w:val="28"/>
        </w:rPr>
        <w:t>” ”</w:t>
      </w:r>
      <w:proofErr w:type="gramEnd"/>
      <w:r w:rsidRPr="00EC5460">
        <w:rPr>
          <w:rFonts w:ascii="Times New Roman" w:hAnsi="Times New Roman" w:cs="Times New Roman"/>
          <w:sz w:val="28"/>
          <w:szCs w:val="28"/>
        </w:rPr>
        <w:t xml:space="preserve"> tutarı 4.211,33 TL olarak güncellenmiştir.</w:t>
      </w:r>
    </w:p>
    <w:p w14:paraId="179857B1"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b/>
          <w:bCs/>
          <w:sz w:val="28"/>
          <w:szCs w:val="28"/>
        </w:rPr>
        <w:t>3.</w:t>
      </w:r>
      <w:r w:rsidRPr="00EC5460">
        <w:rPr>
          <w:rFonts w:ascii="Times New Roman" w:hAnsi="Times New Roman" w:cs="Times New Roman"/>
          <w:sz w:val="28"/>
          <w:szCs w:val="28"/>
        </w:rPr>
        <w:t> “Ekler” kulakçığında yer alan;</w:t>
      </w:r>
    </w:p>
    <w:p w14:paraId="4A68DBAB"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“Yurtdışına Hizmet Veren İşletmelerde İndirim Uygulamasına İlişkin Bildirim (G.V.K. Madde 33)” sayfasında “İstihdam Edilen Hizmet Erbabının Ücreti ve İndirim Tutarının Hesabına İlişkin Bildirim” tablosunda, Toplam “İndirime Konu Olacak Tutar” sütununa girilen değer, “Vergiye Tabi İşlemler” sayfasında “Mahsup Edilen Vergiler” başlığı altında “</w:t>
      </w:r>
      <w:proofErr w:type="spellStart"/>
      <w:r w:rsidRPr="00EC5460">
        <w:rPr>
          <w:rFonts w:ascii="Times New Roman" w:hAnsi="Times New Roman" w:cs="Times New Roman"/>
          <w:sz w:val="28"/>
          <w:szCs w:val="28"/>
        </w:rPr>
        <w:t>GVK’nın</w:t>
      </w:r>
      <w:proofErr w:type="spellEnd"/>
      <w:r w:rsidRPr="00EC5460">
        <w:rPr>
          <w:rFonts w:ascii="Times New Roman" w:hAnsi="Times New Roman" w:cs="Times New Roman"/>
          <w:sz w:val="28"/>
          <w:szCs w:val="28"/>
        </w:rPr>
        <w:t xml:space="preserve"> 33. Maddesi Kapsamında Mahsup Edilecek Kesinti Tutarı” satırına otomatik olarak aktarılmaktadır.</w:t>
      </w:r>
    </w:p>
    <w:p w14:paraId="33C01C11"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“Yurtdışına Hizmet Veren İşletmelerde İndirim Uygulamasına İlişkin Bildirim (G.V.K. Madde 33)” sayfasında “İstihdam Edilen Hizmet Erbabının Ücreti ve İndirim Tutarının Hesabına İlişkin Bildirim” tablosunda Toplam “İndirime Konu Olacak Tutar” sütununa veri girişi yapılmamışsa, “Vergiye Tabi İşlemler” sayfasında “Mahsup Edilen Vergiler” başlığı altında “</w:t>
      </w:r>
      <w:proofErr w:type="spellStart"/>
      <w:r w:rsidRPr="00EC5460">
        <w:rPr>
          <w:rFonts w:ascii="Times New Roman" w:hAnsi="Times New Roman" w:cs="Times New Roman"/>
          <w:sz w:val="28"/>
          <w:szCs w:val="28"/>
        </w:rPr>
        <w:t>GVK’nın</w:t>
      </w:r>
      <w:proofErr w:type="spellEnd"/>
      <w:r w:rsidRPr="00EC5460">
        <w:rPr>
          <w:rFonts w:ascii="Times New Roman" w:hAnsi="Times New Roman" w:cs="Times New Roman"/>
          <w:sz w:val="28"/>
          <w:szCs w:val="28"/>
        </w:rPr>
        <w:t xml:space="preserve"> 33. Maddesi Kapsamında Mahsup Edilecek Kesinti Tutarı” satırına veri girişi yapılamayacaktır.</w:t>
      </w:r>
    </w:p>
    <w:p w14:paraId="6C01960F"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b/>
          <w:bCs/>
          <w:sz w:val="28"/>
          <w:szCs w:val="28"/>
        </w:rPr>
        <w:t>4.</w:t>
      </w:r>
      <w:r w:rsidRPr="00EC5460">
        <w:rPr>
          <w:rFonts w:ascii="Times New Roman" w:hAnsi="Times New Roman" w:cs="Times New Roman"/>
          <w:sz w:val="28"/>
          <w:szCs w:val="28"/>
        </w:rPr>
        <w:t> “Ekler” kulakçığında yer alan “Teknoloji Geliştirme Bölgeleri Kanunu Kapsamında Gelir Vergisi Stopajı Teşvikine İlişkin Bildirim” sayfasında “Bildirim Kapsamında Bulunan İşyerlerine İlişkin Bilgiler” tablosunda yer alan “İşyerinin Bulunduğu Bölge” sütununa aşağıdaki tabloda yer alan Teknoloji Geliştirme Bölgeleri eklenmiştir.</w:t>
      </w:r>
    </w:p>
    <w:tbl>
      <w:tblPr>
        <w:tblW w:w="1025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8"/>
        <w:gridCol w:w="4851"/>
        <w:gridCol w:w="4296"/>
      </w:tblGrid>
      <w:tr w:rsidR="00EC5460" w:rsidRPr="00EC5460" w14:paraId="77C98DE3" w14:textId="77777777" w:rsidTr="00EC5460">
        <w:trPr>
          <w:trHeight w:val="309"/>
          <w:tblCellSpacing w:w="15" w:type="dxa"/>
        </w:trPr>
        <w:tc>
          <w:tcPr>
            <w:tcW w:w="1063" w:type="dxa"/>
            <w:tcBorders>
              <w:top w:val="single" w:sz="6" w:space="0" w:color="E5E5E5"/>
              <w:left w:val="single" w:sz="6" w:space="0" w:color="E5E5E5"/>
              <w:bottom w:val="single" w:sz="6" w:space="0" w:color="F0F0F0"/>
              <w:right w:val="single" w:sz="6" w:space="0" w:color="E5E5E5"/>
            </w:tcBorders>
            <w:shd w:val="clear" w:color="auto" w:fill="E5EEFC"/>
            <w:tcMar>
              <w:top w:w="180" w:type="dxa"/>
              <w:left w:w="210" w:type="dxa"/>
              <w:bottom w:w="180" w:type="dxa"/>
              <w:right w:w="210" w:type="dxa"/>
            </w:tcMar>
            <w:vAlign w:val="center"/>
            <w:hideMark/>
          </w:tcPr>
          <w:p w14:paraId="13E6AE25"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KOD</w:t>
            </w:r>
          </w:p>
        </w:tc>
        <w:tc>
          <w:tcPr>
            <w:tcW w:w="4821" w:type="dxa"/>
            <w:tcBorders>
              <w:top w:val="single" w:sz="6" w:space="0" w:color="E5E5E5"/>
              <w:left w:val="single" w:sz="6" w:space="0" w:color="E5E5E5"/>
              <w:bottom w:val="single" w:sz="6" w:space="0" w:color="F0F0F0"/>
              <w:right w:val="single" w:sz="6" w:space="0" w:color="E5E5E5"/>
            </w:tcBorders>
            <w:shd w:val="clear" w:color="auto" w:fill="E5EEFC"/>
            <w:tcMar>
              <w:top w:w="180" w:type="dxa"/>
              <w:left w:w="210" w:type="dxa"/>
              <w:bottom w:w="180" w:type="dxa"/>
              <w:right w:w="210" w:type="dxa"/>
            </w:tcMar>
            <w:vAlign w:val="center"/>
            <w:hideMark/>
          </w:tcPr>
          <w:p w14:paraId="13B37C1D"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AD</w:t>
            </w:r>
          </w:p>
        </w:tc>
        <w:tc>
          <w:tcPr>
            <w:tcW w:w="4251" w:type="dxa"/>
            <w:tcBorders>
              <w:top w:val="single" w:sz="6" w:space="0" w:color="E5E5E5"/>
              <w:left w:val="single" w:sz="6" w:space="0" w:color="E5E5E5"/>
              <w:bottom w:val="single" w:sz="6" w:space="0" w:color="F0F0F0"/>
              <w:right w:val="single" w:sz="6" w:space="0" w:color="E5E5E5"/>
            </w:tcBorders>
            <w:shd w:val="clear" w:color="auto" w:fill="E5EEFC"/>
            <w:tcMar>
              <w:top w:w="180" w:type="dxa"/>
              <w:left w:w="210" w:type="dxa"/>
              <w:bottom w:w="180" w:type="dxa"/>
              <w:right w:w="210" w:type="dxa"/>
            </w:tcMar>
            <w:vAlign w:val="center"/>
            <w:hideMark/>
          </w:tcPr>
          <w:p w14:paraId="67AD20A0"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İL</w:t>
            </w:r>
          </w:p>
        </w:tc>
      </w:tr>
      <w:tr w:rsidR="00EC5460" w:rsidRPr="00EC5460" w14:paraId="11377207" w14:textId="77777777" w:rsidTr="00EC5460">
        <w:trPr>
          <w:trHeight w:val="309"/>
          <w:tblCellSpacing w:w="15" w:type="dxa"/>
        </w:trPr>
        <w:tc>
          <w:tcPr>
            <w:tcW w:w="1063" w:type="dxa"/>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0A552FA9"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218</w:t>
            </w:r>
          </w:p>
        </w:tc>
        <w:tc>
          <w:tcPr>
            <w:tcW w:w="4821" w:type="dxa"/>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011212FB"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Ankara Teknopark Teknoloji Geliştirme Bölgesi Ek Alanı</w:t>
            </w:r>
          </w:p>
        </w:tc>
        <w:tc>
          <w:tcPr>
            <w:tcW w:w="4251" w:type="dxa"/>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2D6EDD95"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Ankara</w:t>
            </w:r>
          </w:p>
        </w:tc>
      </w:tr>
      <w:tr w:rsidR="00EC5460" w:rsidRPr="00EC5460" w14:paraId="1F44C7FA" w14:textId="77777777" w:rsidTr="00EC5460">
        <w:trPr>
          <w:trHeight w:val="309"/>
          <w:tblCellSpacing w:w="15" w:type="dxa"/>
        </w:trPr>
        <w:tc>
          <w:tcPr>
            <w:tcW w:w="1063" w:type="dxa"/>
            <w:tcBorders>
              <w:top w:val="single" w:sz="6" w:space="0" w:color="E5E5E5"/>
              <w:left w:val="single" w:sz="6" w:space="0" w:color="E5E5E5"/>
              <w:bottom w:val="nil"/>
              <w:right w:val="single" w:sz="6" w:space="0" w:color="E5E5E5"/>
            </w:tcBorders>
            <w:shd w:val="clear" w:color="auto" w:fill="FFFFFF"/>
            <w:tcMar>
              <w:top w:w="180" w:type="dxa"/>
              <w:left w:w="210" w:type="dxa"/>
              <w:bottom w:w="180" w:type="dxa"/>
              <w:right w:w="210" w:type="dxa"/>
            </w:tcMar>
            <w:vAlign w:val="center"/>
            <w:hideMark/>
          </w:tcPr>
          <w:p w14:paraId="171E2DCE"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219</w:t>
            </w:r>
          </w:p>
        </w:tc>
        <w:tc>
          <w:tcPr>
            <w:tcW w:w="4821" w:type="dxa"/>
            <w:tcBorders>
              <w:top w:val="single" w:sz="6" w:space="0" w:color="E5E5E5"/>
              <w:left w:val="single" w:sz="6" w:space="0" w:color="E5E5E5"/>
              <w:bottom w:val="nil"/>
              <w:right w:val="single" w:sz="6" w:space="0" w:color="E5E5E5"/>
            </w:tcBorders>
            <w:shd w:val="clear" w:color="auto" w:fill="FFFFFF"/>
            <w:tcMar>
              <w:top w:w="180" w:type="dxa"/>
              <w:left w:w="210" w:type="dxa"/>
              <w:bottom w:w="180" w:type="dxa"/>
              <w:right w:w="210" w:type="dxa"/>
            </w:tcMar>
            <w:vAlign w:val="center"/>
            <w:hideMark/>
          </w:tcPr>
          <w:p w14:paraId="7BCFFCF4"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Kırşehir Ahi Evran Üniversitesi Teknoloji Geliştirme Bölgesi</w:t>
            </w:r>
          </w:p>
        </w:tc>
        <w:tc>
          <w:tcPr>
            <w:tcW w:w="4251" w:type="dxa"/>
            <w:tcBorders>
              <w:top w:val="single" w:sz="6" w:space="0" w:color="E5E5E5"/>
              <w:left w:val="single" w:sz="6" w:space="0" w:color="E5E5E5"/>
              <w:bottom w:val="nil"/>
              <w:right w:val="single" w:sz="6" w:space="0" w:color="E5E5E5"/>
            </w:tcBorders>
            <w:shd w:val="clear" w:color="auto" w:fill="FFFFFF"/>
            <w:tcMar>
              <w:top w:w="180" w:type="dxa"/>
              <w:left w:w="210" w:type="dxa"/>
              <w:bottom w:w="180" w:type="dxa"/>
              <w:right w:w="210" w:type="dxa"/>
            </w:tcMar>
            <w:vAlign w:val="center"/>
            <w:hideMark/>
          </w:tcPr>
          <w:p w14:paraId="75281F46"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Kırşehir</w:t>
            </w:r>
          </w:p>
        </w:tc>
      </w:tr>
    </w:tbl>
    <w:p w14:paraId="2CB88BED"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b/>
          <w:bCs/>
          <w:sz w:val="28"/>
          <w:szCs w:val="28"/>
        </w:rPr>
        <w:t>5.</w:t>
      </w:r>
      <w:r w:rsidRPr="00EC5460">
        <w:rPr>
          <w:rFonts w:ascii="Times New Roman" w:hAnsi="Times New Roman" w:cs="Times New Roman"/>
          <w:sz w:val="28"/>
          <w:szCs w:val="28"/>
        </w:rPr>
        <w:t> Beyannamenin “SGK Bildirimleri” kulakçığında “Sigortalı Çalışan Bilgileri” tablosunda “Düzenlemeye Esas Kanun No” sütununa aşağıdaki Kanun numaraları eklenmiştir.</w:t>
      </w:r>
    </w:p>
    <w:p w14:paraId="3EDCCF3A"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 xml:space="preserve">09903 kanun numarası = YTB İşveren </w:t>
      </w:r>
      <w:proofErr w:type="gramStart"/>
      <w:r w:rsidRPr="00EC5460">
        <w:rPr>
          <w:rFonts w:ascii="Times New Roman" w:hAnsi="Times New Roman" w:cs="Times New Roman"/>
          <w:sz w:val="28"/>
          <w:szCs w:val="28"/>
        </w:rPr>
        <w:t>His.%</w:t>
      </w:r>
      <w:proofErr w:type="gramEnd"/>
      <w:r w:rsidRPr="00EC5460">
        <w:rPr>
          <w:rFonts w:ascii="Times New Roman" w:hAnsi="Times New Roman" w:cs="Times New Roman"/>
          <w:sz w:val="28"/>
          <w:szCs w:val="28"/>
        </w:rPr>
        <w:t>50</w:t>
      </w:r>
    </w:p>
    <w:p w14:paraId="3806AC87"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19903 kanun numarası = YTB İşveren ve Sigortalı His.</w:t>
      </w:r>
    </w:p>
    <w:p w14:paraId="73158351"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lastRenderedPageBreak/>
        <w:t xml:space="preserve">29903 kanun numarası = YTB İşveren </w:t>
      </w:r>
      <w:proofErr w:type="gramStart"/>
      <w:r w:rsidRPr="00EC5460">
        <w:rPr>
          <w:rFonts w:ascii="Times New Roman" w:hAnsi="Times New Roman" w:cs="Times New Roman"/>
          <w:sz w:val="28"/>
          <w:szCs w:val="28"/>
        </w:rPr>
        <w:t>His.%</w:t>
      </w:r>
      <w:proofErr w:type="gramEnd"/>
      <w:r w:rsidRPr="00EC5460">
        <w:rPr>
          <w:rFonts w:ascii="Times New Roman" w:hAnsi="Times New Roman" w:cs="Times New Roman"/>
          <w:sz w:val="28"/>
          <w:szCs w:val="28"/>
        </w:rPr>
        <w:t>100</w:t>
      </w:r>
    </w:p>
    <w:p w14:paraId="1B5BB72F" w14:textId="77777777" w:rsidR="00EC5460" w:rsidRPr="00EC5460" w:rsidRDefault="00EC5460" w:rsidP="00EC5460">
      <w:pPr>
        <w:rPr>
          <w:rFonts w:ascii="Times New Roman" w:hAnsi="Times New Roman" w:cs="Times New Roman"/>
          <w:sz w:val="28"/>
          <w:szCs w:val="28"/>
        </w:rPr>
      </w:pPr>
      <w:r w:rsidRPr="00EC5460">
        <w:rPr>
          <w:rFonts w:ascii="Times New Roman" w:hAnsi="Times New Roman" w:cs="Times New Roman"/>
          <w:sz w:val="28"/>
          <w:szCs w:val="28"/>
        </w:rPr>
        <w:t>39903 kanun numarası = YTB İşveren His. Gemi Yatırımı</w:t>
      </w:r>
    </w:p>
    <w:p w14:paraId="094047B2" w14:textId="77777777" w:rsidR="0065754A" w:rsidRDefault="0065754A"/>
    <w:sectPr w:rsidR="006575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60"/>
    <w:rsid w:val="004A1671"/>
    <w:rsid w:val="00544D1F"/>
    <w:rsid w:val="0065754A"/>
    <w:rsid w:val="00EC54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99BE"/>
  <w15:chartTrackingRefBased/>
  <w15:docId w15:val="{5AC24728-442D-48D4-87A5-4808C0CF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C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C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C546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C546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C546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C54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54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54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54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546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C546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C546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C546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C546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C54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54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54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5460"/>
    <w:rPr>
      <w:rFonts w:eastAsiaTheme="majorEastAsia" w:cstheme="majorBidi"/>
      <w:color w:val="272727" w:themeColor="text1" w:themeTint="D8"/>
    </w:rPr>
  </w:style>
  <w:style w:type="paragraph" w:styleId="KonuBal">
    <w:name w:val="Title"/>
    <w:basedOn w:val="Normal"/>
    <w:next w:val="Normal"/>
    <w:link w:val="KonuBalChar"/>
    <w:uiPriority w:val="10"/>
    <w:qFormat/>
    <w:rsid w:val="00EC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54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54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54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54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5460"/>
    <w:rPr>
      <w:i/>
      <w:iCs/>
      <w:color w:val="404040" w:themeColor="text1" w:themeTint="BF"/>
    </w:rPr>
  </w:style>
  <w:style w:type="paragraph" w:styleId="ListeParagraf">
    <w:name w:val="List Paragraph"/>
    <w:basedOn w:val="Normal"/>
    <w:uiPriority w:val="34"/>
    <w:qFormat/>
    <w:rsid w:val="00EC5460"/>
    <w:pPr>
      <w:ind w:left="720"/>
      <w:contextualSpacing/>
    </w:pPr>
  </w:style>
  <w:style w:type="character" w:styleId="GlVurgulama">
    <w:name w:val="Intense Emphasis"/>
    <w:basedOn w:val="VarsaylanParagrafYazTipi"/>
    <w:uiPriority w:val="21"/>
    <w:qFormat/>
    <w:rsid w:val="00EC5460"/>
    <w:rPr>
      <w:i/>
      <w:iCs/>
      <w:color w:val="2F5496" w:themeColor="accent1" w:themeShade="BF"/>
    </w:rPr>
  </w:style>
  <w:style w:type="paragraph" w:styleId="GlAlnt">
    <w:name w:val="Intense Quote"/>
    <w:basedOn w:val="Normal"/>
    <w:next w:val="Normal"/>
    <w:link w:val="GlAlntChar"/>
    <w:uiPriority w:val="30"/>
    <w:qFormat/>
    <w:rsid w:val="00EC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C5460"/>
    <w:rPr>
      <w:i/>
      <w:iCs/>
      <w:color w:val="2F5496" w:themeColor="accent1" w:themeShade="BF"/>
    </w:rPr>
  </w:style>
  <w:style w:type="character" w:styleId="GlBavuru">
    <w:name w:val="Intense Reference"/>
    <w:basedOn w:val="VarsaylanParagrafYazTipi"/>
    <w:uiPriority w:val="32"/>
    <w:qFormat/>
    <w:rsid w:val="00EC5460"/>
    <w:rPr>
      <w:b/>
      <w:bCs/>
      <w:smallCaps/>
      <w:color w:val="2F5496" w:themeColor="accent1" w:themeShade="BF"/>
      <w:spacing w:val="5"/>
    </w:rPr>
  </w:style>
  <w:style w:type="character" w:styleId="Kpr">
    <w:name w:val="Hyperlink"/>
    <w:basedOn w:val="VarsaylanParagrafYazTipi"/>
    <w:uiPriority w:val="99"/>
    <w:unhideWhenUsed/>
    <w:rsid w:val="00EC5460"/>
    <w:rPr>
      <w:color w:val="0563C1" w:themeColor="hyperlink"/>
      <w:u w:val="single"/>
    </w:rPr>
  </w:style>
  <w:style w:type="character" w:styleId="zmlenmeyenBahsetme">
    <w:name w:val="Unresolved Mention"/>
    <w:basedOn w:val="VarsaylanParagrafYazTipi"/>
    <w:uiPriority w:val="99"/>
    <w:semiHidden/>
    <w:unhideWhenUsed/>
    <w:rsid w:val="00EC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Meydan - Rsa</dc:creator>
  <cp:keywords/>
  <dc:description/>
  <cp:lastModifiedBy>Levent Meydan - Rsa</cp:lastModifiedBy>
  <cp:revision>2</cp:revision>
  <dcterms:created xsi:type="dcterms:W3CDTF">2026-02-05T06:10:00Z</dcterms:created>
  <dcterms:modified xsi:type="dcterms:W3CDTF">2026-02-05T06:11:00Z</dcterms:modified>
</cp:coreProperties>
</file>